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781" w:type="dxa"/>
        <w:jc w:val="center"/>
        <w:tblLook w:val="04A0" w:firstRow="1" w:lastRow="0" w:firstColumn="1" w:lastColumn="0" w:noHBand="0" w:noVBand="1"/>
      </w:tblPr>
      <w:tblGrid>
        <w:gridCol w:w="2892"/>
        <w:gridCol w:w="1355"/>
        <w:gridCol w:w="1807"/>
        <w:gridCol w:w="609"/>
        <w:gridCol w:w="354"/>
        <w:gridCol w:w="339"/>
        <w:gridCol w:w="677"/>
        <w:gridCol w:w="3748"/>
      </w:tblGrid>
      <w:tr w:rsidR="00ED41E3" w:rsidRPr="0009158B" w:rsidTr="00C8575D">
        <w:trPr>
          <w:trHeight w:val="1338"/>
          <w:jc w:val="center"/>
        </w:trPr>
        <w:tc>
          <w:tcPr>
            <w:tcW w:w="6054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6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8575D">
        <w:trPr>
          <w:trHeight w:val="3570"/>
          <w:jc w:val="center"/>
        </w:trPr>
        <w:tc>
          <w:tcPr>
            <w:tcW w:w="701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4132C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 PROIZVODI ŽIVOTNIH OSIGURANJA U REPUBLICI SRBIJI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C8575D" w:rsidRPr="007A12AE" w:rsidRDefault="00C8575D" w:rsidP="00C8575D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8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mart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2020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C8575D" w:rsidRDefault="00C8575D" w:rsidP="00C8575D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:rsidR="00C8575D" w:rsidRDefault="00C8575D" w:rsidP="00C857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PKS – RPK Leskovac, </w:t>
            </w:r>
          </w:p>
          <w:p w:rsidR="00C8575D" w:rsidRDefault="00C8575D" w:rsidP="00C857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Stojana Ljubića 12, velika sala, </w:t>
            </w:r>
          </w:p>
          <w:p w:rsidR="00931281" w:rsidRPr="00931281" w:rsidRDefault="00C8575D" w:rsidP="00C8575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III sprat</w:t>
            </w:r>
          </w:p>
        </w:tc>
      </w:tr>
      <w:tr w:rsidR="00ED41E3" w:rsidRPr="0009158B" w:rsidTr="00C8575D">
        <w:trPr>
          <w:trHeight w:val="79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C8575D">
        <w:trPr>
          <w:trHeight w:val="955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C8575D">
        <w:trPr>
          <w:trHeight w:val="490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2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C8575D">
        <w:trPr>
          <w:trHeight w:val="393"/>
          <w:jc w:val="center"/>
        </w:trPr>
        <w:tc>
          <w:tcPr>
            <w:tcW w:w="701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2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C8575D">
        <w:trPr>
          <w:trHeight w:val="151"/>
          <w:jc w:val="center"/>
        </w:trPr>
        <w:tc>
          <w:tcPr>
            <w:tcW w:w="701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2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C8575D">
        <w:trPr>
          <w:trHeight w:val="1643"/>
          <w:jc w:val="center"/>
        </w:trPr>
        <w:tc>
          <w:tcPr>
            <w:tcW w:w="701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Potreba da se tržišt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osiguranja u 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rbiji, od strane društava za osiguranje ponude novi proizvodi životnog osiguranja, pored već postojećih klasičnih</w:t>
            </w:r>
          </w:p>
          <w:p w:rsidR="0044132C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Životno osiguranje vezano za jedinice investicionih fondova</w:t>
            </w:r>
          </w:p>
          <w:p w:rsidR="0044132C" w:rsidRDefault="0044132C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Suština </w:t>
            </w:r>
            <w:r w:rsidRPr="00EE5D32">
              <w:rPr>
                <w:rFonts w:ascii="Calibri" w:hAnsi="Calibri" w:cs="Calibri"/>
                <w:b/>
                <w:i/>
                <w:iCs/>
                <w:noProof/>
                <w:color w:val="1F497D"/>
                <w:sz w:val="22"/>
                <w:szCs w:val="22"/>
                <w:lang w:val="sr-Latn-CS" w:eastAsia="sr-Latn-CS"/>
              </w:rPr>
              <w:t>unit-linked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životnih osiguranja i ključne razlike u odnosu na klasične vidove životnih osiguranja. Raspodela ulaganja investicione premije u investicione fondove</w:t>
            </w:r>
            <w:r w:rsidR="00142D8D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koje čine investicioni paket</w:t>
            </w:r>
          </w:p>
          <w:p w:rsidR="00142D8D" w:rsidRDefault="00142D8D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Novi vidovi životnog osiguranja sa elementima dopunskog zdravstvenog osiguranja</w:t>
            </w:r>
          </w:p>
          <w:p w:rsidR="00142D8D" w:rsidRDefault="00142D8D" w:rsidP="0044132C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Novi vidovi životnog osiguranja sa elementima štednje uz mogućnost zaključivanja dopunskih osiguranja koja obuhvataju posebne životne situacije</w:t>
            </w:r>
          </w:p>
          <w:p w:rsidR="00142D8D" w:rsidRDefault="00142D8D" w:rsidP="00142D8D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Životno osiguranje za slučaj doživljenja. Razlike u odnosu na klasično mešovito osiguranje života za slučaj smrti i doživljenja</w:t>
            </w:r>
          </w:p>
          <w:p w:rsidR="00EE5D32" w:rsidRPr="00EE5D32" w:rsidRDefault="00142D8D" w:rsidP="00EE5D32">
            <w:pPr>
              <w:pStyle w:val="ListParagraph"/>
              <w:numPr>
                <w:ilvl w:val="0"/>
                <w:numId w:val="36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Osiguranje korisnika kredita. Neophodnost zaključivanja osiguranja korisnika kredita, s obzirom da banke svojim Uslovima predviđaju, obavezno zaključivanje ove vrste osiguranja kako bi bio odobren kredit</w:t>
            </w:r>
            <w:r w:rsidR="00EE5D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. Određivanje korisnika kredita, visina osigurane sume, način plaćanja premije osiguranja. Umanjujuća, odnosno opadajuća osigurana suma koja odgovara neotplaćenom delu kredita.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2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4132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 Mrkšić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C8575D">
        <w:trPr>
          <w:trHeight w:val="555"/>
          <w:jc w:val="center"/>
        </w:trPr>
        <w:tc>
          <w:tcPr>
            <w:tcW w:w="701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4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C8575D">
        <w:trPr>
          <w:trHeight w:val="1029"/>
          <w:jc w:val="center"/>
        </w:trPr>
        <w:tc>
          <w:tcPr>
            <w:tcW w:w="701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2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C8575D">
        <w:trPr>
          <w:trHeight w:val="79"/>
          <w:jc w:val="center"/>
        </w:trPr>
        <w:tc>
          <w:tcPr>
            <w:tcW w:w="2892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71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17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C8575D">
        <w:trPr>
          <w:trHeight w:val="231"/>
          <w:jc w:val="center"/>
        </w:trPr>
        <w:tc>
          <w:tcPr>
            <w:tcW w:w="7356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42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C8575D">
        <w:trPr>
          <w:trHeight w:val="123"/>
          <w:jc w:val="center"/>
        </w:trPr>
        <w:tc>
          <w:tcPr>
            <w:tcW w:w="4247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33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C8575D" w:rsidRPr="00805DC7" w:rsidTr="00C8575D">
        <w:trPr>
          <w:trHeight w:val="843"/>
          <w:jc w:val="center"/>
        </w:trPr>
        <w:tc>
          <w:tcPr>
            <w:tcW w:w="11781" w:type="dxa"/>
            <w:gridSpan w:val="8"/>
            <w:shd w:val="clear" w:color="auto" w:fill="1F497D"/>
          </w:tcPr>
          <w:p w:rsidR="00C8575D" w:rsidRDefault="00C8575D" w:rsidP="00C8575D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RPK Leskovac</w:t>
            </w:r>
          </w:p>
          <w:p w:rsidR="00C8575D" w:rsidRPr="00805DC7" w:rsidRDefault="00C8575D" w:rsidP="00C8575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Snežana Radivojević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(+381 16)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315 0069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(+381 16)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212 203,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www.</w:t>
            </w:r>
            <w: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>http://www.rpkle.rs</w:t>
            </w:r>
            <w:r w:rsidRPr="00805DC7"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  <w:t xml:space="preserve"> </w:t>
            </w: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377" w:rsidRDefault="00F51377">
      <w:r>
        <w:separator/>
      </w:r>
    </w:p>
  </w:endnote>
  <w:endnote w:type="continuationSeparator" w:id="0">
    <w:p w:rsidR="00F51377" w:rsidRDefault="00F51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377" w:rsidRDefault="00F51377">
      <w:r>
        <w:separator/>
      </w:r>
    </w:p>
  </w:footnote>
  <w:footnote w:type="continuationSeparator" w:id="0">
    <w:p w:rsidR="00F51377" w:rsidRDefault="00F513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D42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5428"/>
    <w:rsid w:val="00C26500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62A55D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71C4B2-CEE7-4B31-83F5-8A7BBC5A4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2216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3</cp:revision>
  <cp:lastPrinted>2015-12-22T11:13:00Z</cp:lastPrinted>
  <dcterms:created xsi:type="dcterms:W3CDTF">2020-02-04T14:35:00Z</dcterms:created>
  <dcterms:modified xsi:type="dcterms:W3CDTF">2020-02-05T08:57:00Z</dcterms:modified>
</cp:coreProperties>
</file>